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447" w:rsidRDefault="004B2447" w:rsidP="004B2447">
      <w:pPr>
        <w:spacing w:before="360"/>
        <w:jc w:val="center"/>
        <w:rPr>
          <w:b/>
          <w:sz w:val="28"/>
          <w:szCs w:val="28"/>
        </w:rPr>
      </w:pPr>
      <w:r w:rsidRPr="00F63C80">
        <w:rPr>
          <w:b/>
          <w:sz w:val="28"/>
          <w:szCs w:val="28"/>
        </w:rPr>
        <w:t xml:space="preserve">АДМИНИСТРАЦИЯ </w:t>
      </w:r>
    </w:p>
    <w:p w:rsidR="004B2447" w:rsidRPr="00F63C80" w:rsidRDefault="004B2447" w:rsidP="004B24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БЕЛОХОЛУНИЦКОГО ГОРОДСКОГО ПОСЕЛЕНИЯ </w:t>
      </w:r>
    </w:p>
    <w:p w:rsidR="004B2447" w:rsidRPr="00C51F7F" w:rsidRDefault="004B2447" w:rsidP="004B2447">
      <w:pPr>
        <w:spacing w:before="360" w:after="360"/>
        <w:jc w:val="center"/>
        <w:rPr>
          <w:b/>
          <w:sz w:val="32"/>
          <w:szCs w:val="32"/>
        </w:rPr>
      </w:pPr>
      <w:r w:rsidRPr="00C51F7F">
        <w:rPr>
          <w:b/>
          <w:sz w:val="32"/>
          <w:szCs w:val="32"/>
        </w:rPr>
        <w:t>ПОСТАН</w:t>
      </w:r>
      <w:r>
        <w:rPr>
          <w:b/>
          <w:sz w:val="32"/>
          <w:szCs w:val="32"/>
        </w:rPr>
        <w:t>О</w:t>
      </w:r>
      <w:r w:rsidRPr="00C51F7F">
        <w:rPr>
          <w:b/>
          <w:sz w:val="32"/>
          <w:szCs w:val="32"/>
        </w:rPr>
        <w:t>ВЛЕНИЕ</w:t>
      </w:r>
    </w:p>
    <w:p w:rsidR="004B2447" w:rsidRDefault="007565BA" w:rsidP="007565BA">
      <w:pPr>
        <w:tabs>
          <w:tab w:val="left" w:pos="8364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27.12.2024</w:t>
      </w:r>
      <w:r w:rsidR="004B244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785-П</w:t>
      </w:r>
    </w:p>
    <w:p w:rsidR="004B2447" w:rsidRDefault="004B2447" w:rsidP="004B2447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Белая Холуница</w:t>
      </w:r>
    </w:p>
    <w:p w:rsidR="004B2447" w:rsidRPr="00A60BB3" w:rsidRDefault="003C2C2D" w:rsidP="004B2447">
      <w:pPr>
        <w:pStyle w:val="a7"/>
        <w:spacing w:before="480"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C2D">
        <w:rPr>
          <w:rFonts w:ascii="Times New Roman" w:hAnsi="Times New Roman" w:cs="Times New Roman"/>
          <w:b/>
          <w:sz w:val="28"/>
          <w:szCs w:val="24"/>
        </w:rPr>
        <w:t>Об утверждении основных направлений долговой политики муниципального образования Белохолуницкое городское поселение Белохолуницкого района Кировской области на 202</w:t>
      </w:r>
      <w:r w:rsidR="005737AE">
        <w:rPr>
          <w:rFonts w:ascii="Times New Roman" w:hAnsi="Times New Roman" w:cs="Times New Roman"/>
          <w:b/>
          <w:sz w:val="28"/>
          <w:szCs w:val="24"/>
        </w:rPr>
        <w:t>5</w:t>
      </w:r>
      <w:r w:rsidRPr="003C2C2D">
        <w:rPr>
          <w:rFonts w:ascii="Times New Roman" w:hAnsi="Times New Roman" w:cs="Times New Roman"/>
          <w:b/>
          <w:sz w:val="28"/>
          <w:szCs w:val="24"/>
        </w:rPr>
        <w:t xml:space="preserve"> год и на плановый период 202</w:t>
      </w:r>
      <w:r w:rsidR="005737AE">
        <w:rPr>
          <w:rFonts w:ascii="Times New Roman" w:hAnsi="Times New Roman" w:cs="Times New Roman"/>
          <w:b/>
          <w:sz w:val="28"/>
          <w:szCs w:val="24"/>
        </w:rPr>
        <w:t>6</w:t>
      </w:r>
      <w:r w:rsidRPr="003C2C2D">
        <w:rPr>
          <w:rFonts w:ascii="Times New Roman" w:hAnsi="Times New Roman" w:cs="Times New Roman"/>
          <w:b/>
          <w:sz w:val="28"/>
          <w:szCs w:val="24"/>
        </w:rPr>
        <w:t xml:space="preserve"> и 202</w:t>
      </w:r>
      <w:r w:rsidR="005737AE">
        <w:rPr>
          <w:rFonts w:ascii="Times New Roman" w:hAnsi="Times New Roman" w:cs="Times New Roman"/>
          <w:b/>
          <w:sz w:val="28"/>
          <w:szCs w:val="24"/>
        </w:rPr>
        <w:t>7</w:t>
      </w:r>
      <w:r w:rsidRPr="003C2C2D">
        <w:rPr>
          <w:rFonts w:ascii="Times New Roman" w:hAnsi="Times New Roman" w:cs="Times New Roman"/>
          <w:b/>
          <w:sz w:val="28"/>
          <w:szCs w:val="24"/>
        </w:rPr>
        <w:t xml:space="preserve"> годов</w:t>
      </w:r>
    </w:p>
    <w:p w:rsidR="00B34ABF" w:rsidRPr="00B34ABF" w:rsidRDefault="003C2C2D" w:rsidP="00D777DE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C2C2D">
        <w:rPr>
          <w:rFonts w:ascii="Times New Roman" w:hAnsi="Times New Roman" w:cs="Times New Roman"/>
          <w:sz w:val="28"/>
          <w:szCs w:val="24"/>
        </w:rPr>
        <w:t>В соответствии со статьей 107 Бюджетного кодекса Российской Федерации, в целях эффективного управления муниципальным долгом муниципального образования Белохолуницкое городское поселение Белохолуницкого района Кировской области</w:t>
      </w:r>
      <w:r w:rsidR="00D777DE" w:rsidRPr="003C2C2D">
        <w:rPr>
          <w:rFonts w:ascii="Times New Roman" w:hAnsi="Times New Roman" w:cs="Times New Roman"/>
          <w:sz w:val="28"/>
          <w:szCs w:val="24"/>
        </w:rPr>
        <w:t xml:space="preserve"> </w:t>
      </w:r>
      <w:r w:rsidR="00B34ABF" w:rsidRPr="00B34ABF">
        <w:rPr>
          <w:rFonts w:ascii="Times New Roman" w:hAnsi="Times New Roman" w:cs="Times New Roman"/>
          <w:sz w:val="28"/>
          <w:szCs w:val="24"/>
        </w:rPr>
        <w:t>администрация Белохолуницкого городского поселения ПОСТАНОВЛЯЕТ:</w:t>
      </w:r>
    </w:p>
    <w:p w:rsidR="00AD5D88" w:rsidRPr="00AD5D88" w:rsidRDefault="00AD5D88" w:rsidP="003C2C2D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</w:t>
      </w:r>
      <w:r>
        <w:rPr>
          <w:rFonts w:ascii="Times New Roman" w:hAnsi="Times New Roman" w:cs="Times New Roman"/>
          <w:sz w:val="28"/>
          <w:szCs w:val="24"/>
        </w:rPr>
        <w:tab/>
      </w:r>
      <w:r w:rsidR="003C2C2D" w:rsidRPr="003C2C2D">
        <w:rPr>
          <w:rFonts w:ascii="Times New Roman" w:hAnsi="Times New Roman" w:cs="Times New Roman"/>
          <w:sz w:val="28"/>
          <w:szCs w:val="24"/>
        </w:rPr>
        <w:t>Утвердить основные направления долговой политики муниципального образования Белохолуницкое городское поселение Белохолуницкого района Кировской области на 202</w:t>
      </w:r>
      <w:r w:rsidR="005737AE">
        <w:rPr>
          <w:rFonts w:ascii="Times New Roman" w:hAnsi="Times New Roman" w:cs="Times New Roman"/>
          <w:sz w:val="28"/>
          <w:szCs w:val="24"/>
        </w:rPr>
        <w:t>5</w:t>
      </w:r>
      <w:r w:rsidR="003C2C2D" w:rsidRPr="003C2C2D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5737AE">
        <w:rPr>
          <w:rFonts w:ascii="Times New Roman" w:hAnsi="Times New Roman" w:cs="Times New Roman"/>
          <w:sz w:val="28"/>
          <w:szCs w:val="24"/>
        </w:rPr>
        <w:t>6</w:t>
      </w:r>
      <w:r w:rsidR="003C2C2D" w:rsidRPr="003C2C2D">
        <w:rPr>
          <w:rFonts w:ascii="Times New Roman" w:hAnsi="Times New Roman" w:cs="Times New Roman"/>
          <w:sz w:val="28"/>
          <w:szCs w:val="24"/>
        </w:rPr>
        <w:t xml:space="preserve"> и 202</w:t>
      </w:r>
      <w:r w:rsidR="005737AE">
        <w:rPr>
          <w:rFonts w:ascii="Times New Roman" w:hAnsi="Times New Roman" w:cs="Times New Roman"/>
          <w:sz w:val="28"/>
          <w:szCs w:val="24"/>
        </w:rPr>
        <w:t>7</w:t>
      </w:r>
      <w:r w:rsidR="003C2C2D" w:rsidRPr="003C2C2D">
        <w:rPr>
          <w:rFonts w:ascii="Times New Roman" w:hAnsi="Times New Roman" w:cs="Times New Roman"/>
          <w:sz w:val="28"/>
          <w:szCs w:val="24"/>
        </w:rPr>
        <w:t xml:space="preserve"> годов согласно приложению</w:t>
      </w:r>
      <w:r w:rsidR="00D777DE" w:rsidRPr="00D777DE">
        <w:rPr>
          <w:rFonts w:ascii="Times New Roman" w:hAnsi="Times New Roman" w:cs="Times New Roman"/>
          <w:sz w:val="28"/>
          <w:szCs w:val="24"/>
        </w:rPr>
        <w:t>.</w:t>
      </w:r>
    </w:p>
    <w:p w:rsidR="001A11C5" w:rsidRDefault="001A11C5" w:rsidP="001A11C5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Глава Белохолуницкого</w:t>
      </w:r>
    </w:p>
    <w:p w:rsidR="001A11C5" w:rsidRDefault="001A11C5" w:rsidP="007565BA">
      <w:pPr>
        <w:ind w:right="-2"/>
        <w:rPr>
          <w:sz w:val="24"/>
        </w:rPr>
      </w:pPr>
      <w:r>
        <w:rPr>
          <w:sz w:val="28"/>
          <w:szCs w:val="28"/>
        </w:rPr>
        <w:t>городского поселения    В.В. Герасимов</w:t>
      </w:r>
    </w:p>
    <w:p w:rsidR="004B2447" w:rsidRDefault="004B2447" w:rsidP="00AC78E0">
      <w:pPr>
        <w:ind w:left="5387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Приложение </w:t>
      </w:r>
    </w:p>
    <w:p w:rsidR="005D7EA4" w:rsidRDefault="005D7EA4" w:rsidP="004B2447">
      <w:pPr>
        <w:ind w:left="5387"/>
        <w:jc w:val="both"/>
        <w:rPr>
          <w:sz w:val="28"/>
          <w:szCs w:val="28"/>
        </w:rPr>
      </w:pPr>
    </w:p>
    <w:p w:rsidR="00CC2706" w:rsidRDefault="00CC2706" w:rsidP="004B2447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D777DE">
        <w:rPr>
          <w:sz w:val="28"/>
          <w:szCs w:val="28"/>
        </w:rPr>
        <w:t>Ы</w:t>
      </w:r>
    </w:p>
    <w:p w:rsidR="00CC2706" w:rsidRDefault="00CC2706" w:rsidP="004B2447">
      <w:pPr>
        <w:ind w:left="5387"/>
        <w:jc w:val="both"/>
        <w:rPr>
          <w:sz w:val="28"/>
          <w:szCs w:val="28"/>
        </w:rPr>
      </w:pPr>
    </w:p>
    <w:p w:rsidR="004B2447" w:rsidRDefault="004B2447" w:rsidP="001A11C5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CC2706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Белохолуницкого городского поселения </w:t>
      </w:r>
    </w:p>
    <w:p w:rsidR="004B2447" w:rsidRDefault="004B2447" w:rsidP="004B2447">
      <w:pPr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5BA">
        <w:rPr>
          <w:sz w:val="28"/>
          <w:szCs w:val="28"/>
        </w:rPr>
        <w:t>27.12.2024</w:t>
      </w:r>
      <w:r>
        <w:rPr>
          <w:sz w:val="28"/>
          <w:szCs w:val="28"/>
        </w:rPr>
        <w:t xml:space="preserve"> № </w:t>
      </w:r>
      <w:r w:rsidR="007565BA">
        <w:rPr>
          <w:sz w:val="28"/>
          <w:szCs w:val="28"/>
        </w:rPr>
        <w:t>786-П</w:t>
      </w:r>
      <w:bookmarkStart w:id="0" w:name="_GoBack"/>
      <w:bookmarkEnd w:id="0"/>
    </w:p>
    <w:p w:rsidR="004B2447" w:rsidRPr="005C6493" w:rsidRDefault="003C2C2D" w:rsidP="004B2447">
      <w:pPr>
        <w:shd w:val="clear" w:color="auto" w:fill="FFFFFF"/>
        <w:spacing w:before="720"/>
        <w:jc w:val="center"/>
        <w:rPr>
          <w:b/>
        </w:rPr>
      </w:pPr>
      <w:r w:rsidRPr="003C2C2D">
        <w:rPr>
          <w:b/>
          <w:color w:val="000000"/>
          <w:spacing w:val="3"/>
          <w:sz w:val="28"/>
          <w:szCs w:val="28"/>
        </w:rPr>
        <w:t>ОСНОВНЫЕ НАПРАВЛЕНИЯ</w:t>
      </w:r>
    </w:p>
    <w:p w:rsidR="004B2447" w:rsidRPr="00485A0F" w:rsidRDefault="003C2C2D" w:rsidP="004B2447">
      <w:pPr>
        <w:pStyle w:val="a7"/>
        <w:spacing w:after="480"/>
        <w:jc w:val="center"/>
        <w:rPr>
          <w:rFonts w:ascii="Times New Roman" w:hAnsi="Times New Roman" w:cs="Times New Roman"/>
          <w:sz w:val="28"/>
          <w:szCs w:val="24"/>
        </w:rPr>
      </w:pPr>
      <w:r w:rsidRPr="003C2C2D">
        <w:rPr>
          <w:rFonts w:ascii="Times New Roman" w:hAnsi="Times New Roman" w:cs="Times New Roman"/>
          <w:b/>
          <w:bCs/>
          <w:sz w:val="28"/>
          <w:szCs w:val="24"/>
        </w:rPr>
        <w:t xml:space="preserve">долговой политики муниципального образования Белохолуницкое городское поселение Белохолуницкого района Кировской области </w:t>
      </w:r>
      <w:r w:rsidR="005737AE" w:rsidRPr="005737AE">
        <w:rPr>
          <w:rFonts w:ascii="Times New Roman" w:hAnsi="Times New Roman" w:cs="Times New Roman"/>
          <w:b/>
          <w:bCs/>
          <w:sz w:val="28"/>
          <w:szCs w:val="24"/>
        </w:rPr>
        <w:t>на 2025 год и на плановый период 2026 и 2027 годов</w:t>
      </w:r>
    </w:p>
    <w:p w:rsidR="003C2C2D" w:rsidRPr="000B263F" w:rsidRDefault="003C2C2D" w:rsidP="003C2C2D">
      <w:pPr>
        <w:pStyle w:val="a7"/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Общие положения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 xml:space="preserve">Долговая политика муниципального образования Белохолуницкое городское поселение Белохолуницкого района Кировской области (далее - муниципальное образование) </w:t>
      </w:r>
      <w:r w:rsidR="005737AE" w:rsidRPr="003C2C2D">
        <w:rPr>
          <w:rFonts w:ascii="Times New Roman" w:hAnsi="Times New Roman" w:cs="Times New Roman"/>
          <w:sz w:val="28"/>
          <w:szCs w:val="24"/>
        </w:rPr>
        <w:t>на 202</w:t>
      </w:r>
      <w:r w:rsidR="005737AE">
        <w:rPr>
          <w:rFonts w:ascii="Times New Roman" w:hAnsi="Times New Roman" w:cs="Times New Roman"/>
          <w:sz w:val="28"/>
          <w:szCs w:val="24"/>
        </w:rPr>
        <w:t>5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5737AE">
        <w:rPr>
          <w:rFonts w:ascii="Times New Roman" w:hAnsi="Times New Roman" w:cs="Times New Roman"/>
          <w:sz w:val="28"/>
          <w:szCs w:val="24"/>
        </w:rPr>
        <w:t>6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и 202</w:t>
      </w:r>
      <w:r w:rsidR="005737AE">
        <w:rPr>
          <w:rFonts w:ascii="Times New Roman" w:hAnsi="Times New Roman" w:cs="Times New Roman"/>
          <w:sz w:val="28"/>
          <w:szCs w:val="24"/>
        </w:rPr>
        <w:t>7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годов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разработана в соответствии с Бюджетным Кодексом Российской Федерации.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 xml:space="preserve">Основные направления долговой политики муниципального образования </w:t>
      </w:r>
      <w:r w:rsidR="005737AE" w:rsidRPr="003C2C2D">
        <w:rPr>
          <w:rFonts w:ascii="Times New Roman" w:hAnsi="Times New Roman" w:cs="Times New Roman"/>
          <w:sz w:val="28"/>
          <w:szCs w:val="24"/>
        </w:rPr>
        <w:t>на 202</w:t>
      </w:r>
      <w:r w:rsidR="005737AE">
        <w:rPr>
          <w:rFonts w:ascii="Times New Roman" w:hAnsi="Times New Roman" w:cs="Times New Roman"/>
          <w:sz w:val="28"/>
          <w:szCs w:val="24"/>
        </w:rPr>
        <w:t>5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год и на плановый период 202</w:t>
      </w:r>
      <w:r w:rsidR="005737AE">
        <w:rPr>
          <w:rFonts w:ascii="Times New Roman" w:hAnsi="Times New Roman" w:cs="Times New Roman"/>
          <w:sz w:val="28"/>
          <w:szCs w:val="24"/>
        </w:rPr>
        <w:t>6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и 202</w:t>
      </w:r>
      <w:r w:rsidR="005737AE">
        <w:rPr>
          <w:rFonts w:ascii="Times New Roman" w:hAnsi="Times New Roman" w:cs="Times New Roman"/>
          <w:sz w:val="28"/>
          <w:szCs w:val="24"/>
        </w:rPr>
        <w:t>7</w:t>
      </w:r>
      <w:r w:rsidR="005737AE" w:rsidRPr="003C2C2D">
        <w:rPr>
          <w:rFonts w:ascii="Times New Roman" w:hAnsi="Times New Roman" w:cs="Times New Roman"/>
          <w:sz w:val="28"/>
          <w:szCs w:val="24"/>
        </w:rPr>
        <w:t xml:space="preserve"> годов</w:t>
      </w:r>
      <w:r w:rsidR="005737AE" w:rsidRPr="000B26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263F">
        <w:rPr>
          <w:rFonts w:ascii="Times New Roman" w:hAnsi="Times New Roman" w:cs="Times New Roman"/>
          <w:bCs/>
          <w:sz w:val="28"/>
          <w:szCs w:val="28"/>
        </w:rPr>
        <w:t>(далее - долговая политика) определяют основные цели и мероприятия по управлению муниципальным долгом муниципального образования.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Долговая политика является составной частью бюджетной политики муниципального образования и направлена на обеспечение: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сбалансированности и устойчивости бюджета муниципального образования (далее – бюджет),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сохранение объема муниципального долга на экономически безопасном уровне не выше предельно допустимых значений, установленных Бюджетным кодексом Российской Федерации,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lastRenderedPageBreak/>
        <w:t>сохранение благоприятной кредитной истории муниципального образования как надежного заемщика, безупречно и своевременно выполняющего свои финансовые обязательства.</w:t>
      </w:r>
    </w:p>
    <w:p w:rsidR="003C2C2D" w:rsidRPr="000B263F" w:rsidRDefault="003C2C2D" w:rsidP="003C2C2D">
      <w:pPr>
        <w:pStyle w:val="a7"/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Итоги реализации долговой политики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течение 202</w:t>
      </w:r>
      <w:r w:rsidR="005737AE">
        <w:rPr>
          <w:rFonts w:ascii="Times New Roman" w:hAnsi="Times New Roman" w:cs="Times New Roman"/>
          <w:bCs/>
          <w:sz w:val="28"/>
          <w:szCs w:val="28"/>
        </w:rPr>
        <w:t>1</w:t>
      </w:r>
      <w:r w:rsidRPr="000B263F">
        <w:rPr>
          <w:rFonts w:ascii="Times New Roman" w:hAnsi="Times New Roman" w:cs="Times New Roman"/>
          <w:bCs/>
          <w:sz w:val="28"/>
          <w:szCs w:val="28"/>
        </w:rPr>
        <w:t>-202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гг. долговая политика была направлена на снижение объема муниципального долга муниципального образования (далее – муниципальный долг), удешевление стоимости долговых обязательств.</w:t>
      </w:r>
    </w:p>
    <w:p w:rsidR="003C2C2D" w:rsidRPr="000B263F" w:rsidRDefault="003C2C2D" w:rsidP="007D19D3">
      <w:pPr>
        <w:pStyle w:val="a7"/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Динамика показателей муниципального долга и расходов на обслуживание муниципального долга за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7AE">
        <w:rPr>
          <w:rFonts w:ascii="Times New Roman" w:hAnsi="Times New Roman" w:cs="Times New Roman"/>
          <w:bCs/>
          <w:sz w:val="28"/>
          <w:szCs w:val="28"/>
        </w:rPr>
        <w:t>2</w:t>
      </w:r>
      <w:r w:rsidRPr="000B263F">
        <w:rPr>
          <w:rFonts w:ascii="Times New Roman" w:hAnsi="Times New Roman" w:cs="Times New Roman"/>
          <w:bCs/>
          <w:sz w:val="28"/>
          <w:szCs w:val="28"/>
        </w:rPr>
        <w:t>-202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годы и ожидаемое исполнение за 202</w:t>
      </w:r>
      <w:r w:rsidR="005737AE">
        <w:rPr>
          <w:rFonts w:ascii="Times New Roman" w:hAnsi="Times New Roman" w:cs="Times New Roman"/>
          <w:bCs/>
          <w:sz w:val="28"/>
          <w:szCs w:val="28"/>
        </w:rPr>
        <w:t>5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 представлена в таблице:</w:t>
      </w:r>
    </w:p>
    <w:tbl>
      <w:tblPr>
        <w:tblW w:w="9218" w:type="dxa"/>
        <w:tblInd w:w="10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0"/>
        <w:gridCol w:w="1227"/>
        <w:gridCol w:w="1275"/>
        <w:gridCol w:w="1134"/>
        <w:gridCol w:w="1572"/>
      </w:tblGrid>
      <w:tr w:rsidR="003C2C2D" w:rsidRPr="00A72A78" w:rsidTr="000E77B5">
        <w:trPr>
          <w:trHeight w:hRule="exact" w:val="904"/>
          <w:tblHeader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2D" w:rsidRPr="00A72A78" w:rsidRDefault="003C2C2D" w:rsidP="000E77B5">
            <w:pPr>
              <w:pStyle w:val="TableParagraph"/>
              <w:ind w:left="4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2D" w:rsidRPr="00E52B35" w:rsidRDefault="003C2C2D" w:rsidP="005737AE">
            <w:pPr>
              <w:pStyle w:val="TableParagraph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01.01.20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  <w:r w:rsidR="00573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2D" w:rsidRPr="00AB77EF" w:rsidRDefault="003C2C2D" w:rsidP="005737AE">
            <w:pPr>
              <w:pStyle w:val="TableParagraph"/>
              <w:ind w:left="107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01.01.202</w:t>
            </w:r>
            <w:r w:rsidR="00573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2D" w:rsidRPr="00AB77EF" w:rsidRDefault="003C2C2D" w:rsidP="005737AE">
            <w:pPr>
              <w:pStyle w:val="TableParagraph"/>
              <w:ind w:left="4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01.01.202</w:t>
            </w:r>
            <w:r w:rsidR="00573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C2D" w:rsidRPr="00AB77EF" w:rsidRDefault="003C2C2D" w:rsidP="005737AE">
            <w:pPr>
              <w:pStyle w:val="TableParagraph"/>
              <w:ind w:left="45" w:firstLine="1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Ожидаемое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исполнение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A72A78">
              <w:rPr>
                <w:rFonts w:ascii="Times New Roman" w:hAnsi="Times New Roman"/>
                <w:b/>
                <w:sz w:val="24"/>
                <w:szCs w:val="24"/>
              </w:rPr>
              <w:t xml:space="preserve"> 01.01.202</w:t>
            </w:r>
            <w:r w:rsidR="00573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</w:tr>
      <w:tr w:rsidR="003C2C2D" w:rsidRPr="00A72A78" w:rsidTr="000E77B5">
        <w:trPr>
          <w:trHeight w:hRule="exact" w:val="624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tabs>
                <w:tab w:val="left" w:pos="487"/>
                <w:tab w:val="left" w:pos="1332"/>
                <w:tab w:val="left" w:pos="3043"/>
              </w:tabs>
              <w:ind w:left="56" w:right="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Объем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муниципального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долга, млн. рублей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19</w:t>
            </w:r>
            <w:r w:rsidR="003C2C2D"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</w:tr>
      <w:tr w:rsidR="003C2C2D" w:rsidRPr="00A72A78" w:rsidTr="000E77B5">
        <w:trPr>
          <w:trHeight w:hRule="exact" w:val="406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56"/>
              <w:rPr>
                <w:rFonts w:ascii="Times New Roman" w:hAnsi="Times New Roman"/>
                <w:sz w:val="24"/>
                <w:szCs w:val="24"/>
              </w:rPr>
            </w:pPr>
            <w:r w:rsidRPr="00A72A7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72A78">
              <w:rPr>
                <w:rFonts w:ascii="Times New Roman" w:hAnsi="Times New Roman"/>
                <w:sz w:val="24"/>
                <w:szCs w:val="24"/>
              </w:rPr>
              <w:t>том</w:t>
            </w:r>
            <w:proofErr w:type="spellEnd"/>
            <w:r w:rsidRPr="00A72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2A78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spellEnd"/>
            <w:r w:rsidRPr="00A72A78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jc w:val="center"/>
              <w:rPr>
                <w:sz w:val="24"/>
                <w:szCs w:val="24"/>
              </w:rPr>
            </w:pPr>
          </w:p>
        </w:tc>
      </w:tr>
      <w:tr w:rsidR="003C2C2D" w:rsidRPr="00A72A78" w:rsidTr="000E77B5">
        <w:trPr>
          <w:trHeight w:hRule="exact" w:val="637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tabs>
                <w:tab w:val="left" w:pos="1147"/>
                <w:tab w:val="left" w:pos="2442"/>
              </w:tabs>
              <w:ind w:left="56" w:right="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Кредиты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кредитных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организаций, млн. рублей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3C2C2D" w:rsidRPr="00A72A78" w:rsidTr="000E77B5">
        <w:trPr>
          <w:trHeight w:hRule="exact" w:val="37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5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бюджетные кредиты млн. рублей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11</w:t>
            </w:r>
            <w:r w:rsidR="003C2C2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9</w:t>
            </w: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A72A7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,9</w:t>
            </w:r>
          </w:p>
        </w:tc>
      </w:tr>
      <w:tr w:rsidR="003C2C2D" w:rsidRPr="00A72A78" w:rsidTr="000E77B5">
        <w:trPr>
          <w:trHeight w:hRule="exact" w:val="1162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56" w:right="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Отношение объема муниципального долга к годовому объему доходов бюджета без учета безвозмездных поступлений, 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72,0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41,9</w:t>
            </w:r>
          </w:p>
        </w:tc>
      </w:tr>
      <w:tr w:rsidR="003C2C2D" w:rsidRPr="00A72A78" w:rsidTr="000E77B5">
        <w:trPr>
          <w:trHeight w:hRule="exact" w:val="655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tabs>
                <w:tab w:val="left" w:pos="613"/>
                <w:tab w:val="left" w:pos="1742"/>
                <w:tab w:val="left" w:pos="2343"/>
              </w:tabs>
              <w:ind w:left="56" w:right="5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Расходы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обслуживание муниципального долга, млн. рублей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0,</w:t>
            </w:r>
            <w:r w:rsidR="00145B0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145B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</w:tr>
      <w:tr w:rsidR="003C2C2D" w:rsidRPr="00A72A78" w:rsidTr="000E77B5">
        <w:trPr>
          <w:trHeight w:hRule="exact" w:val="2268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56" w:right="5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4. Доля расходов на обслуживание муниципального долга в общем объеме расходов муниципального образования, за исключением расходов, которые осуществляются за счет субвенций, предоставляемых из бюджетов бюджетной системы РФ, в %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ind w:left="78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</w:t>
            </w:r>
            <w:r w:rsidR="00145B0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145B0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0,4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ind w:left="79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</w:t>
            </w:r>
            <w:r w:rsidR="00145B0C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3C2C2D" w:rsidRPr="00A72A78" w:rsidTr="000E77B5">
        <w:trPr>
          <w:trHeight w:hRule="exact" w:val="2504"/>
        </w:trPr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tabs>
                <w:tab w:val="left" w:pos="1609"/>
                <w:tab w:val="left" w:pos="2283"/>
              </w:tabs>
              <w:ind w:left="56" w:right="5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5. Годовая сумма платежей по погашению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A72A78"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обслуживанию муниципального долга, возникшего по состоянию на 1 января текущего года к общему объему налоговых и неналоговых доходов муниципального образования и дотаций из бюджетов бюджетной системы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3C2C2D">
              <w:rPr>
                <w:rFonts w:ascii="Times New Roman" w:hAnsi="Times New Roman"/>
                <w:sz w:val="24"/>
                <w:szCs w:val="24"/>
                <w:lang w:val="ru-RU"/>
              </w:rPr>
              <w:t>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145B0C" w:rsidP="000E77B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145B0C">
            <w:pPr>
              <w:pStyle w:val="TableParagraph"/>
              <w:ind w:left="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</w:t>
            </w:r>
            <w:r w:rsidR="00145B0C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C2D" w:rsidRPr="00A72A78" w:rsidRDefault="003C2C2D" w:rsidP="000E77B5">
            <w:pPr>
              <w:pStyle w:val="TableParagraph"/>
              <w:ind w:left="8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2,1</w:t>
            </w:r>
          </w:p>
        </w:tc>
      </w:tr>
    </w:tbl>
    <w:p w:rsidR="003C2C2D" w:rsidRPr="000B263F" w:rsidRDefault="003C2C2D" w:rsidP="007D19D3">
      <w:pPr>
        <w:pStyle w:val="a7"/>
        <w:spacing w:before="12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Структура муниципального долга представлена коммерческими и бюджетными кредитами.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Муниципальные гарантии муниципального образования не предоставлялись.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В течение 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года был погашен</w:t>
      </w:r>
      <w:r>
        <w:rPr>
          <w:rFonts w:ascii="Times New Roman" w:hAnsi="Times New Roman" w:cs="Times New Roman"/>
          <w:bCs/>
          <w:sz w:val="28"/>
          <w:szCs w:val="28"/>
        </w:rPr>
        <w:t xml:space="preserve"> бюджетный кредит – на сумму 2 млн. рублей.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целях снижения расходов на обслуживание муниципального долга при исполнении бюджета в 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7AE">
        <w:rPr>
          <w:rFonts w:ascii="Times New Roman" w:hAnsi="Times New Roman" w:cs="Times New Roman"/>
          <w:bCs/>
          <w:sz w:val="28"/>
          <w:szCs w:val="28"/>
        </w:rPr>
        <w:t>1</w:t>
      </w:r>
      <w:r w:rsidRPr="000B263F">
        <w:rPr>
          <w:rFonts w:ascii="Times New Roman" w:hAnsi="Times New Roman" w:cs="Times New Roman"/>
          <w:bCs/>
          <w:sz w:val="28"/>
          <w:szCs w:val="28"/>
        </w:rPr>
        <w:t>-202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годах осуществлялось досрочное погашение долговых обязательств.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По предварительной оценке, по состоянию на 01.01.202</w:t>
      </w:r>
      <w:r w:rsidR="005737AE">
        <w:rPr>
          <w:rFonts w:ascii="Times New Roman" w:hAnsi="Times New Roman" w:cs="Times New Roman"/>
          <w:bCs/>
          <w:sz w:val="28"/>
          <w:szCs w:val="28"/>
        </w:rPr>
        <w:t>5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объем муниципального долга составит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145B0C">
        <w:rPr>
          <w:rFonts w:ascii="Times New Roman" w:hAnsi="Times New Roman" w:cs="Times New Roman"/>
          <w:bCs/>
          <w:sz w:val="28"/>
          <w:szCs w:val="28"/>
        </w:rPr>
        <w:t>5</w:t>
      </w:r>
      <w:r w:rsidRPr="000B263F">
        <w:rPr>
          <w:rFonts w:ascii="Times New Roman" w:hAnsi="Times New Roman" w:cs="Times New Roman"/>
          <w:bCs/>
          <w:sz w:val="28"/>
          <w:szCs w:val="28"/>
        </w:rPr>
        <w:t>,9 млн. рублей, снижение по сравнению с 01.01.20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737AE">
        <w:rPr>
          <w:rFonts w:ascii="Times New Roman" w:hAnsi="Times New Roman" w:cs="Times New Roman"/>
          <w:bCs/>
          <w:sz w:val="28"/>
          <w:szCs w:val="28"/>
        </w:rPr>
        <w:t>2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45B0C">
        <w:rPr>
          <w:rFonts w:ascii="Times New Roman" w:hAnsi="Times New Roman" w:cs="Times New Roman"/>
          <w:bCs/>
          <w:sz w:val="28"/>
          <w:szCs w:val="28"/>
        </w:rPr>
        <w:t>7</w:t>
      </w:r>
      <w:r w:rsidRPr="000B263F">
        <w:rPr>
          <w:rFonts w:ascii="Times New Roman" w:hAnsi="Times New Roman" w:cs="Times New Roman"/>
          <w:bCs/>
          <w:sz w:val="28"/>
          <w:szCs w:val="28"/>
        </w:rPr>
        <w:t>%.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По предварительным данным за 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 долговая нагрузка составит </w:t>
      </w:r>
      <w:r w:rsidR="00145B0C">
        <w:rPr>
          <w:rFonts w:ascii="Times New Roman" w:hAnsi="Times New Roman" w:cs="Times New Roman"/>
          <w:bCs/>
          <w:sz w:val="28"/>
          <w:szCs w:val="28"/>
        </w:rPr>
        <w:t>41,9</w:t>
      </w:r>
      <w:r w:rsidRPr="000B263F">
        <w:rPr>
          <w:rFonts w:ascii="Times New Roman" w:hAnsi="Times New Roman" w:cs="Times New Roman"/>
          <w:bCs/>
          <w:sz w:val="28"/>
          <w:szCs w:val="28"/>
        </w:rPr>
        <w:t>%.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Расходы на обслуживание долга по предварительным данным за 202</w:t>
      </w:r>
      <w:r w:rsidR="005737AE">
        <w:rPr>
          <w:rFonts w:ascii="Times New Roman" w:hAnsi="Times New Roman" w:cs="Times New Roman"/>
          <w:bCs/>
          <w:sz w:val="28"/>
          <w:szCs w:val="28"/>
        </w:rPr>
        <w:t>4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год составляют 0,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млн. рублей.</w:t>
      </w:r>
    </w:p>
    <w:p w:rsidR="003C2C2D" w:rsidRPr="000B263F" w:rsidRDefault="003C2C2D" w:rsidP="003C2C2D">
      <w:pPr>
        <w:pStyle w:val="a7"/>
        <w:spacing w:before="240" w:after="240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Основные факторы, определяющие характер и направления долговой политики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Реализация долговой политики в трехлетнем периоде будет осуществляться в условиях ограниченности финансовых ресурсов.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lastRenderedPageBreak/>
        <w:t>Основными факторами, определяющими характер и направления долговой политики, являются: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изменения бюджетного и налогового законодательства;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изменения в Бюджетный кодекс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значительный уровень муниципального долга;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недостаточность динамики роста налоговых и неналоговых доходов бюджета;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необходимость финансового обеспечения принятых расходных обязательств муниципального образования в полном объеме.</w:t>
      </w:r>
    </w:p>
    <w:p w:rsidR="003C2C2D" w:rsidRPr="000B263F" w:rsidRDefault="003C2C2D" w:rsidP="003C2C2D">
      <w:pPr>
        <w:pStyle w:val="a7"/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Цели и задачи долговой политики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 xml:space="preserve">Основной целью долговой политики является </w:t>
      </w:r>
      <w:r>
        <w:rPr>
          <w:rFonts w:ascii="Times New Roman" w:hAnsi="Times New Roman" w:cs="Times New Roman"/>
          <w:bCs/>
          <w:sz w:val="28"/>
          <w:szCs w:val="28"/>
        </w:rPr>
        <w:t>долговая устойчивость</w:t>
      </w:r>
      <w:r w:rsidRPr="000B263F">
        <w:rPr>
          <w:rFonts w:ascii="Times New Roman" w:hAnsi="Times New Roman" w:cs="Times New Roman"/>
          <w:bCs/>
          <w:sz w:val="28"/>
          <w:szCs w:val="28"/>
        </w:rPr>
        <w:t xml:space="preserve"> бюджета, поддержание объема муниципального долга и расходов на его обслуживание в рамках, установленных Бюджетным кодексом Российской Федерации ограничений.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Реализация долговой политики будет направлена на решение следующих задач: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сокращение объема муниципального долга и поддержание умеренной долговой нагрузки на бюджет;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своевременное и в полном объеме выполнение принятых обязательств по погашению и обслуживанию муниципального долга;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увеличение доли среднесрочных муниципальных внутренних заимствований;</w:t>
      </w:r>
    </w:p>
    <w:p w:rsidR="003C2C2D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осуществление досрочного погашения долговых обязательств; минимизацию стоимости об</w:t>
      </w:r>
      <w:r>
        <w:rPr>
          <w:rFonts w:ascii="Times New Roman" w:hAnsi="Times New Roman" w:cs="Times New Roman"/>
          <w:bCs/>
          <w:sz w:val="28"/>
          <w:szCs w:val="28"/>
        </w:rPr>
        <w:t>служивания муниципального долга;</w:t>
      </w:r>
    </w:p>
    <w:p w:rsidR="003C2C2D" w:rsidRPr="008C691E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C691E">
        <w:rPr>
          <w:rFonts w:ascii="Times New Roman" w:hAnsi="Times New Roman" w:cs="Times New Roman"/>
          <w:sz w:val="28"/>
          <w:szCs w:val="24"/>
        </w:rPr>
        <w:t xml:space="preserve">обеспечение возможности привлечения в местный бюджет кредитов от кредитных организаций исключительно по ставкам на уровне не более, чем </w:t>
      </w:r>
      <w:r w:rsidRPr="008C691E">
        <w:rPr>
          <w:rFonts w:ascii="Times New Roman" w:hAnsi="Times New Roman" w:cs="Times New Roman"/>
          <w:sz w:val="28"/>
          <w:szCs w:val="24"/>
        </w:rPr>
        <w:lastRenderedPageBreak/>
        <w:t>уровень ключевой ставки, установленный Банком России, увеличенный на 1 процент годовых;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691E">
        <w:rPr>
          <w:rFonts w:ascii="Times New Roman" w:hAnsi="Times New Roman" w:cs="Times New Roman"/>
          <w:sz w:val="28"/>
          <w:szCs w:val="24"/>
        </w:rPr>
        <w:t xml:space="preserve">увеличение по итогам очередного финансового года и каждого года планового периода доли общего объема муниципального долга по кредитам, полученным муниципальным образованием от кредитных организаций, </w:t>
      </w:r>
      <w:r>
        <w:rPr>
          <w:rFonts w:ascii="Times New Roman" w:hAnsi="Times New Roman" w:cs="Times New Roman"/>
          <w:sz w:val="28"/>
          <w:szCs w:val="24"/>
        </w:rPr>
        <w:t xml:space="preserve">не </w:t>
      </w:r>
      <w:r w:rsidRPr="008C691E">
        <w:rPr>
          <w:rFonts w:ascii="Times New Roman" w:hAnsi="Times New Roman" w:cs="Times New Roman"/>
          <w:sz w:val="28"/>
          <w:szCs w:val="24"/>
        </w:rPr>
        <w:t xml:space="preserve">более 50 процентов </w:t>
      </w:r>
      <w:r>
        <w:rPr>
          <w:rFonts w:ascii="Times New Roman" w:hAnsi="Times New Roman" w:cs="Times New Roman"/>
          <w:sz w:val="28"/>
          <w:szCs w:val="24"/>
        </w:rPr>
        <w:t xml:space="preserve">от </w:t>
      </w:r>
      <w:r w:rsidRPr="008C691E">
        <w:rPr>
          <w:rFonts w:ascii="Times New Roman" w:hAnsi="Times New Roman" w:cs="Times New Roman"/>
          <w:sz w:val="28"/>
          <w:szCs w:val="24"/>
        </w:rPr>
        <w:t>объема доходов местного бюджета без учета объема безвозмездных поступлений за очередной финансовый год и соответствующий год планового периода.</w:t>
      </w:r>
    </w:p>
    <w:p w:rsidR="003C2C2D" w:rsidRPr="000B263F" w:rsidRDefault="003C2C2D" w:rsidP="003C2C2D">
      <w:pPr>
        <w:pStyle w:val="a7"/>
        <w:spacing w:before="240" w:after="24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Инструменты реализации долговой политики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Долговая политика будет реализовываться посредством выполнения следующих мероприятий: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недопущение принятия новых расходных обязательств, не обеспеченных дополнительными источниками поступлений в бюджет;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направление дополнительных доходов, полученных при исполнении бюджета, на досрочное погашение долговых обязательств;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проведение работы с кредитными организациями по снижению процентных ставок по ранее заключенным муниципальным контрактам;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привлечение среднесрочных заемных средств (до трех лет) на погашение долговых обязательств и на финансирование дефицита бюджета;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сохранение моратория на предоставление муниципальных гарантий муниципального образования;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:rsidR="003C2C2D" w:rsidRPr="000B263F" w:rsidRDefault="003C2C2D" w:rsidP="003C2C2D">
      <w:pPr>
        <w:pStyle w:val="a7"/>
        <w:spacing w:before="240" w:after="240"/>
        <w:ind w:left="1418" w:hanging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263F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0B263F">
        <w:rPr>
          <w:rFonts w:ascii="Times New Roman" w:hAnsi="Times New Roman" w:cs="Times New Roman"/>
          <w:b/>
          <w:bCs/>
          <w:sz w:val="28"/>
          <w:szCs w:val="28"/>
        </w:rPr>
        <w:tab/>
        <w:t>Анализ рисков для бюджета, возникающих в процессе управления муниципальным долгом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Основными рисками, возникающими в процессе управления муниципальным долгом, являются: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lastRenderedPageBreak/>
        <w:t>риск невыполнения утвержденных годовых объемов налоговых и неналоговых доходов бюджета;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риск роста процентных ставок вследствие увеличения ключевой ставки, установленной Банком России;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риск рефинансирования – отсутствие возможности осуществить новые заимствования для погашения имеющихся долговых обязательств;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риск возникновения новых расходных обязательств, не обеспеченных источниками финансирования.</w:t>
      </w:r>
    </w:p>
    <w:p w:rsidR="003C2C2D" w:rsidRPr="000B263F" w:rsidRDefault="003C2C2D" w:rsidP="007D19D3">
      <w:pPr>
        <w:pStyle w:val="a7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63F">
        <w:rPr>
          <w:rFonts w:ascii="Times New Roman" w:hAnsi="Times New Roman" w:cs="Times New Roman"/>
          <w:bCs/>
          <w:sz w:val="28"/>
          <w:szCs w:val="28"/>
        </w:rPr>
        <w:t>В целях профилактики указанных рисков необходимо при планировании муниципальных заимствований учитывать возможное развитие негативных тенденций, экономические возможности по мобилизации ресурсов, текущую и ожидаемую конъюнктуру на финансовых рынках.</w:t>
      </w:r>
    </w:p>
    <w:p w:rsidR="004B2447" w:rsidRPr="005C6493" w:rsidRDefault="004B2447" w:rsidP="004B2447">
      <w:pPr>
        <w:pStyle w:val="a7"/>
        <w:spacing w:before="72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6493">
        <w:rPr>
          <w:rFonts w:ascii="Times New Roman" w:hAnsi="Times New Roman" w:cs="Times New Roman"/>
          <w:sz w:val="28"/>
          <w:szCs w:val="28"/>
        </w:rPr>
        <w:t>__________</w:t>
      </w:r>
    </w:p>
    <w:p w:rsidR="004B2447" w:rsidRDefault="004B2447"/>
    <w:sectPr w:rsidR="004B2447" w:rsidSect="004B2447">
      <w:headerReference w:type="default" r:id="rId6"/>
      <w:headerReference w:type="first" r:id="rId7"/>
      <w:pgSz w:w="11906" w:h="16838"/>
      <w:pgMar w:top="1559" w:right="709" w:bottom="1276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2B5" w:rsidRDefault="005962B5" w:rsidP="004B2447">
      <w:r>
        <w:separator/>
      </w:r>
    </w:p>
  </w:endnote>
  <w:endnote w:type="continuationSeparator" w:id="0">
    <w:p w:rsidR="005962B5" w:rsidRDefault="005962B5" w:rsidP="004B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2B5" w:rsidRDefault="005962B5" w:rsidP="004B2447">
      <w:r>
        <w:separator/>
      </w:r>
    </w:p>
  </w:footnote>
  <w:footnote w:type="continuationSeparator" w:id="0">
    <w:p w:rsidR="005962B5" w:rsidRDefault="005962B5" w:rsidP="004B2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Pr="004B2447" w:rsidRDefault="004B2447" w:rsidP="00AC78E0">
    <w:pPr>
      <w:pStyle w:val="a3"/>
      <w:jc w:val="center"/>
      <w:rPr>
        <w:sz w:val="24"/>
      </w:rPr>
    </w:pPr>
    <w:r w:rsidRPr="004B2447">
      <w:rPr>
        <w:sz w:val="24"/>
      </w:rPr>
      <w:fldChar w:fldCharType="begin"/>
    </w:r>
    <w:r w:rsidRPr="004B2447">
      <w:rPr>
        <w:sz w:val="24"/>
      </w:rPr>
      <w:instrText>PAGE   \* MERGEFORMAT</w:instrText>
    </w:r>
    <w:r w:rsidRPr="004B2447">
      <w:rPr>
        <w:sz w:val="24"/>
      </w:rPr>
      <w:fldChar w:fldCharType="separate"/>
    </w:r>
    <w:r w:rsidR="007565BA">
      <w:rPr>
        <w:noProof/>
        <w:sz w:val="24"/>
      </w:rPr>
      <w:t>2</w:t>
    </w:r>
    <w:r w:rsidRPr="004B2447"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447" w:rsidRDefault="00414AAE" w:rsidP="00AC78E0">
    <w:pPr>
      <w:pStyle w:val="a3"/>
      <w:jc w:val="center"/>
    </w:pPr>
    <w:r w:rsidRPr="00794248">
      <w:rPr>
        <w:noProof/>
      </w:rPr>
      <w:drawing>
        <wp:inline distT="0" distB="0" distL="0" distR="0">
          <wp:extent cx="504825" cy="723265"/>
          <wp:effectExtent l="0" t="0" r="0" b="0"/>
          <wp:docPr id="1" name="Рисунок 1" descr="Герб город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Герб города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04" r="7155" b="4158"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447"/>
    <w:rsid w:val="00004891"/>
    <w:rsid w:val="000114BE"/>
    <w:rsid w:val="00020FE5"/>
    <w:rsid w:val="00042DE2"/>
    <w:rsid w:val="00095058"/>
    <w:rsid w:val="000C18CD"/>
    <w:rsid w:val="000C2037"/>
    <w:rsid w:val="00101A71"/>
    <w:rsid w:val="00113EBA"/>
    <w:rsid w:val="00145B0C"/>
    <w:rsid w:val="001677DD"/>
    <w:rsid w:val="00171FF4"/>
    <w:rsid w:val="00185B5A"/>
    <w:rsid w:val="001A11C5"/>
    <w:rsid w:val="001A2538"/>
    <w:rsid w:val="001E13F6"/>
    <w:rsid w:val="00237EB5"/>
    <w:rsid w:val="00270E67"/>
    <w:rsid w:val="0029033E"/>
    <w:rsid w:val="002A64DE"/>
    <w:rsid w:val="002B1E38"/>
    <w:rsid w:val="002B3BA1"/>
    <w:rsid w:val="003068E2"/>
    <w:rsid w:val="00317283"/>
    <w:rsid w:val="00342FB6"/>
    <w:rsid w:val="0039564E"/>
    <w:rsid w:val="003960AA"/>
    <w:rsid w:val="003C2C2D"/>
    <w:rsid w:val="00410156"/>
    <w:rsid w:val="00414AAE"/>
    <w:rsid w:val="00436C1F"/>
    <w:rsid w:val="00480E0F"/>
    <w:rsid w:val="00494FC7"/>
    <w:rsid w:val="004B2447"/>
    <w:rsid w:val="004C53E2"/>
    <w:rsid w:val="004E47DA"/>
    <w:rsid w:val="005644C2"/>
    <w:rsid w:val="005737AE"/>
    <w:rsid w:val="00594793"/>
    <w:rsid w:val="0059533D"/>
    <w:rsid w:val="005962B5"/>
    <w:rsid w:val="005A411C"/>
    <w:rsid w:val="005B2011"/>
    <w:rsid w:val="005D7EA4"/>
    <w:rsid w:val="00603B5B"/>
    <w:rsid w:val="006051D7"/>
    <w:rsid w:val="0060541F"/>
    <w:rsid w:val="006244D2"/>
    <w:rsid w:val="007157FC"/>
    <w:rsid w:val="007307EE"/>
    <w:rsid w:val="00734207"/>
    <w:rsid w:val="00744BF2"/>
    <w:rsid w:val="007565BA"/>
    <w:rsid w:val="00777297"/>
    <w:rsid w:val="007A3F24"/>
    <w:rsid w:val="007D19D3"/>
    <w:rsid w:val="007F5023"/>
    <w:rsid w:val="008725B2"/>
    <w:rsid w:val="008B618C"/>
    <w:rsid w:val="008C6993"/>
    <w:rsid w:val="00934F7F"/>
    <w:rsid w:val="0099550F"/>
    <w:rsid w:val="009F199D"/>
    <w:rsid w:val="00A61F51"/>
    <w:rsid w:val="00A74D82"/>
    <w:rsid w:val="00AB32C9"/>
    <w:rsid w:val="00AC78E0"/>
    <w:rsid w:val="00AD5D88"/>
    <w:rsid w:val="00B02F77"/>
    <w:rsid w:val="00B26C2F"/>
    <w:rsid w:val="00B317C9"/>
    <w:rsid w:val="00B34ABF"/>
    <w:rsid w:val="00B823A6"/>
    <w:rsid w:val="00BB6C0A"/>
    <w:rsid w:val="00BF6EF8"/>
    <w:rsid w:val="00C04571"/>
    <w:rsid w:val="00C13A7C"/>
    <w:rsid w:val="00C22251"/>
    <w:rsid w:val="00C37CCB"/>
    <w:rsid w:val="00C65CF1"/>
    <w:rsid w:val="00CC25BE"/>
    <w:rsid w:val="00CC2706"/>
    <w:rsid w:val="00CC46E3"/>
    <w:rsid w:val="00CF0EB6"/>
    <w:rsid w:val="00D777DE"/>
    <w:rsid w:val="00DB5EAA"/>
    <w:rsid w:val="00DC5A65"/>
    <w:rsid w:val="00DF6F00"/>
    <w:rsid w:val="00E567A6"/>
    <w:rsid w:val="00E73CCD"/>
    <w:rsid w:val="00E81A64"/>
    <w:rsid w:val="00EA3237"/>
    <w:rsid w:val="00EB39B1"/>
    <w:rsid w:val="00EE40B2"/>
    <w:rsid w:val="00EE65C8"/>
    <w:rsid w:val="00EF31B3"/>
    <w:rsid w:val="00F11A70"/>
    <w:rsid w:val="00F41E16"/>
    <w:rsid w:val="00F578AF"/>
    <w:rsid w:val="00F75F07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1AB9E4"/>
  <w15:chartTrackingRefBased/>
  <w15:docId w15:val="{D6595E21-F01E-48A7-BCE2-232065F7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47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2447"/>
  </w:style>
  <w:style w:type="paragraph" w:styleId="a5">
    <w:name w:val="footer"/>
    <w:basedOn w:val="a"/>
    <w:link w:val="a6"/>
    <w:uiPriority w:val="99"/>
    <w:unhideWhenUsed/>
    <w:rsid w:val="004B244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2447"/>
  </w:style>
  <w:style w:type="paragraph" w:styleId="a7">
    <w:name w:val="Plain Text"/>
    <w:basedOn w:val="a"/>
    <w:link w:val="a8"/>
    <w:rsid w:val="004B2447"/>
    <w:rPr>
      <w:rFonts w:ascii="Courier New" w:hAnsi="Courier New" w:cs="Courier New"/>
    </w:rPr>
  </w:style>
  <w:style w:type="character" w:customStyle="1" w:styleId="a8">
    <w:name w:val="Текст Знак"/>
    <w:link w:val="a7"/>
    <w:rsid w:val="004B24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60A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60AA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rsid w:val="00CC2706"/>
  </w:style>
  <w:style w:type="character" w:styleId="ab">
    <w:name w:val="Hyperlink"/>
    <w:uiPriority w:val="99"/>
    <w:unhideWhenUsed/>
    <w:rsid w:val="00CC2706"/>
    <w:rPr>
      <w:color w:val="0563C1"/>
      <w:u w:val="single"/>
    </w:rPr>
  </w:style>
  <w:style w:type="paragraph" w:customStyle="1" w:styleId="TableParagraph">
    <w:name w:val="Table Paragraph"/>
    <w:basedOn w:val="a"/>
    <w:uiPriority w:val="99"/>
    <w:rsid w:val="003C2C2D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Ekaterina</cp:lastModifiedBy>
  <cp:revision>2</cp:revision>
  <cp:lastPrinted>2024-11-13T13:27:00Z</cp:lastPrinted>
  <dcterms:created xsi:type="dcterms:W3CDTF">2025-02-10T05:59:00Z</dcterms:created>
  <dcterms:modified xsi:type="dcterms:W3CDTF">2025-02-10T05:59:00Z</dcterms:modified>
</cp:coreProperties>
</file>